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spacing w:before="0" w:after="20"/>
        <w:ind w:left="259" w:hanging="259"/>
      </w:pPr>
      <w:r>
        <w:t>• Relevant coursework: Software Engineering, Artificial Intelligence, 3D Computer Vision, Data Structures and Algorithms, Simulation, Statistics, Operations Research.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AI-enabled systems and data workflows for process improvement, manufacturing analytics, operational decision support, and supply-chain automation.</w:t>
      </w:r>
    </w:p>
    <w:p>
      <w:pPr>
        <w:spacing w:before="0" w:after="20"/>
        <w:ind w:left="259" w:hanging="259"/>
      </w:pPr>
      <w:r>
        <w:t>• Strengthen monitoring and process structure across healthcare supply chains with AI, helping ensure reliable product availability for vulnerable patient groups.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Productionized a team-built APC simulator for live manufacturing and engineer training, packaging it in Docker and deploying it to Azure App Service.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spacing w:before="0" w:after="20"/>
        <w:ind w:left="259" w:hanging="259"/>
      </w:pPr>
      <w:r>
        <w:t>• Integrated Singpass Login (OIDC) and Myinfo for passwordless authentication and consent-based retrieval of verified identity and registered address, automating resident eligibility checks.</w:t>
      </w:r>
    </w:p>
    <w:p>
      <w:pPr>
        <w:spacing w:before="0" w:after="20"/>
        <w:ind w:left="259" w:hanging="259"/>
      </w:pPr>
      <w:r>
        <w:t>• Led deployment planning, multi-repo coordination, and stakeholder management across product, engineering, and operations; awarded the S$20,000 Sparks Community Innovation Fund.</w:t>
      </w:r>
    </w:p>
    <w:p>
      <w:pPr>
        <w:spacing w:before="0" w:after="20"/>
        <w:ind w:left="259" w:hanging="259"/>
      </w:pPr>
      <w:r>
        <w:t>• Provisioned and deployed the platform's AWS infrastructure with Terraform (Fargate services, Route 53 DNS, Redis caching, and Kafka messaging), applying cloud security controls across the environment.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AgeWellLah.AI: NUS HealthHack 2025</w:t>
      </w:r>
      <w:r>
        <w:tab/>
        <w:t>2025</w:t>
      </w:r>
    </w:p>
    <w:p>
      <w:pPr>
        <w:spacing w:before="0" w:after="20"/>
        <w:ind w:left="259" w:hanging="259"/>
      </w:pPr>
      <w:r>
        <w:t>• Built an elderly-care triage chatbot using OpenAI GPT-4, InterSystems IRIS Vector Search, and Flask, with OAuth2-secured patient profiles and PDPA-aware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Solution architecture; cloud (AWS Fargate, Terraform, Azure, Docker, CI/CD); full-stack (React, TypeScript, FastAPI, Flask); Singpass Login &amp; Myinfo (OIDC); RAG &amp; AI agents; GIS mapping; accessibility; rapid prototyping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Civic Tech Solution Architect Resume</dc:title>
  <dc:subject>Civic Tech Solution Architect Resume</dc:subject>
  <dc:creator>Rahul Mitra</dc:creator>
  <cp:keywords>rahul-mitra.com, Civic Tech Solution Architect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